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40F60ADD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proofErr w:type="spellStart"/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Condens</w:t>
      </w:r>
      <w:proofErr w:type="spellEnd"/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EF571A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</w:t>
      </w:r>
      <w:r w:rsidR="000325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R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EF571A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5</w:t>
      </w:r>
      <w:r w:rsidR="000325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droite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63B6276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proofErr w:type="spellStart"/>
      <w:r w:rsidR="00620FD4" w:rsidRPr="003F3234">
        <w:rPr>
          <w:rFonts w:ascii="Bosch Office Sans" w:hAnsi="Bosch Office Sans"/>
          <w:b/>
          <w:lang w:val="fr-FR"/>
        </w:rPr>
        <w:t>Condens</w:t>
      </w:r>
      <w:proofErr w:type="spellEnd"/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61B17A7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droite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3855271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Automate de combustion SAFe44 pour le raccordement et le contrôle de flamme par 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ionistation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7F813CC3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EF571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83,5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EF571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19BFA71C" w:rsidR="001D4224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Pn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selon </w:t>
      </w:r>
      <w:proofErr w:type="spellStart"/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ErP</w:t>
      </w:r>
      <w:proofErr w:type="spellEnd"/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EF571A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77,8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EF571A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466,7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7504B303" w:rsidR="00C02683" w:rsidRPr="002068BE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à 30% de la puissance nominale (P1 selon </w:t>
      </w:r>
      <w:proofErr w:type="spellStart"/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ErP</w:t>
      </w:r>
      <w:proofErr w:type="spellEnd"/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) :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2068BE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156,4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221649D1" w14:textId="031B672A" w:rsidR="001D4224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calorifique </w:t>
      </w:r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</w:t>
      </w:r>
      <w:proofErr w:type="spellStart"/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Qn</w:t>
      </w:r>
      <w:proofErr w:type="spellEnd"/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(PCI))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79,4</w:t>
      </w:r>
      <w:r w:rsidR="00F8569E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476,2</w:t>
      </w:r>
      <w:r w:rsidR="00F8569E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2068B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18E55D2A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9,5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655632C2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98 %</w:t>
      </w:r>
    </w:p>
    <w:p w14:paraId="312C1CDB" w14:textId="662CE715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2068BE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proofErr w:type="spellStart"/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ΔTmax</w:t>
      </w:r>
      <w:proofErr w:type="spellEnd"/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admissible par la chaudière, à pleine et charge et charge partielle :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6 </w:t>
      </w:r>
      <w:proofErr w:type="gramStart"/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bar</w:t>
      </w:r>
      <w:proofErr w:type="gramEnd"/>
    </w:p>
    <w:p w14:paraId="0B6BE757" w14:textId="43322175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Emissions NOx selon EN 15502 (selon </w:t>
      </w:r>
      <w:proofErr w:type="spellStart"/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ErP</w:t>
      </w:r>
      <w:proofErr w:type="spellEnd"/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) :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36,7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4BD4DFD6" w14:textId="5D72E214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53 750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3B5EA9D7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71DAEFEB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200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49832F94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45,2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455A3F1B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64,8</w:t>
      </w:r>
      <w:r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51150504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AF1715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0,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09</w:t>
      </w:r>
      <w:r w:rsidR="00AF1715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  <w:r w:rsidR="00F8569E" w:rsidRPr="002068B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3FAEEAE7" w:rsidR="00371DFA" w:rsidRPr="002068B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pleine charge et </w:t>
      </w:r>
      <w:r w:rsidR="00603449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charge partielle</w:t>
      </w:r>
      <w:r w:rsidR="00C02683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F8569E" w:rsidRPr="002068B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5210F1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486</w:t>
      </w:r>
      <w:r w:rsidR="00F8569E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/ </w:t>
      </w:r>
      <w:r w:rsidR="00603449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47</w:t>
      </w:r>
      <w:r w:rsidR="00C02683" w:rsidRPr="002068B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AD08B55" w14:textId="3D4DDEC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</w:p>
    <w:p w14:paraId="0AA61775" w14:textId="0DACB303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Dimensions (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HxLxP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1 582 x 803 x </w:t>
      </w:r>
      <w:r w:rsidR="005210F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2 088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471AB05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5210F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E9F447F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</w:t>
      </w:r>
      <w:r w:rsidR="00C02683">
        <w:rPr>
          <w:rFonts w:ascii="Bosch Office Sans" w:hAnsi="Bosch Office Sans" w:cs="Arial"/>
          <w:lang w:val="fr-FR"/>
        </w:rPr>
        <w:t>M0507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A3667F2" w14:textId="1269B11C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 xml:space="preserve">B23(p), </w:t>
      </w:r>
      <w:r w:rsidR="00C02683">
        <w:rPr>
          <w:rFonts w:ascii="Bosch Office Sans" w:hAnsi="Bosch Office Sans" w:cs="Arial"/>
          <w:lang w:val="fr-FR"/>
        </w:rPr>
        <w:t>C63 (C13, C33, C53, 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</w:t>
      </w:r>
      <w:proofErr w:type="gramStart"/>
      <w:r w:rsidR="00E107CB">
        <w:rPr>
          <w:rFonts w:ascii="Bosch Office Sans" w:hAnsi="Bosch Office Sans" w:cs="Arial"/>
          <w:lang w:val="fr-FR"/>
        </w:rPr>
        <w:t>versions gauche</w:t>
      </w:r>
      <w:proofErr w:type="gramEnd"/>
      <w:r w:rsidR="00E107CB">
        <w:rPr>
          <w:rFonts w:ascii="Bosch Office Sans" w:hAnsi="Bosch Office Sans" w:cs="Arial"/>
          <w:lang w:val="fr-FR"/>
        </w:rPr>
        <w:t xml:space="preserve">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39077D95" w:rsidR="00124EB7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Chariot de transport à roulettes, </w:t>
      </w:r>
      <w:r>
        <w:rPr>
          <w:rFonts w:ascii="Bosch Office Sans" w:hAnsi="Bosch Office Sans"/>
          <w:lang w:val="fr-FR"/>
        </w:rPr>
        <w:t>pour facilement déplacer la chaudière lors de son montage et installation,</w:t>
      </w:r>
    </w:p>
    <w:p w14:paraId="727955C1" w14:textId="5FB91D76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</w:p>
    <w:p w14:paraId="186B5C08" w14:textId="6823B74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505403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hydrauliques cascade double</w:t>
      </w:r>
      <w:r>
        <w:rPr>
          <w:rFonts w:ascii="Bosch Office Sans" w:hAnsi="Bosch Office Sans"/>
          <w:lang w:val="fr-FR"/>
        </w:rPr>
        <w:t xml:space="preserve">, pour </w:t>
      </w:r>
      <w:proofErr w:type="gramStart"/>
      <w:r>
        <w:rPr>
          <w:rFonts w:ascii="Bosch Office Sans" w:hAnsi="Bosch Office Sans"/>
          <w:lang w:val="fr-FR"/>
        </w:rPr>
        <w:t>la raccordement</w:t>
      </w:r>
      <w:proofErr w:type="gramEnd"/>
      <w:r>
        <w:rPr>
          <w:rFonts w:ascii="Bosch Office Sans" w:hAnsi="Bosch Office Sans"/>
          <w:lang w:val="fr-FR"/>
        </w:rPr>
        <w:t xml:space="preserve">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68EBBC6E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5D00E709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SAFe44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1F9AB94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0DC2355B" w14:textId="77777777" w:rsidR="00D04A6E" w:rsidRDefault="00D04A6E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Préparateurs ECS instantanée </w:t>
      </w:r>
      <w:proofErr w:type="spellStart"/>
      <w:r>
        <w:rPr>
          <w:rFonts w:ascii="Bosch Office Sans" w:hAnsi="Bosch Office Sans"/>
          <w:lang w:val="fr-FR"/>
        </w:rPr>
        <w:t>FlowFresh</w:t>
      </w:r>
      <w:proofErr w:type="spellEnd"/>
      <w:r>
        <w:rPr>
          <w:rFonts w:ascii="Bosch Office Sans" w:hAnsi="Bosch Office Sans"/>
          <w:lang w:val="fr-FR"/>
        </w:rPr>
        <w:t xml:space="preserve">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72F0AFEF" w:rsidR="001F5011" w:rsidRPr="001B245A" w:rsidRDefault="00D04A6E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21EB" w14:textId="77777777" w:rsidR="003B7B1C" w:rsidRDefault="003B7B1C" w:rsidP="007B0472">
      <w:pPr>
        <w:spacing w:after="0" w:line="240" w:lineRule="auto"/>
      </w:pPr>
      <w:r>
        <w:separator/>
      </w:r>
    </w:p>
  </w:endnote>
  <w:endnote w:type="continuationSeparator" w:id="0">
    <w:p w14:paraId="48A32489" w14:textId="77777777" w:rsidR="003B7B1C" w:rsidRDefault="003B7B1C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FC11" w14:textId="77777777" w:rsidR="00514593" w:rsidRDefault="005145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proofErr w:type="spellStart"/>
    <w:proofErr w:type="gramStart"/>
    <w:r w:rsidRPr="00DB4A7D">
      <w:rPr>
        <w:rFonts w:ascii="Bosch Office Sans" w:hAnsi="Bosch Office Sans"/>
        <w:b/>
        <w:bCs/>
        <w:lang w:val="fr-FR"/>
      </w:rPr>
      <w:t>elm.leblanc</w:t>
    </w:r>
    <w:proofErr w:type="spellEnd"/>
    <w:proofErr w:type="gramEnd"/>
    <w:r w:rsidRPr="00DB4A7D">
      <w:rPr>
        <w:rFonts w:ascii="Bosch Office Sans" w:hAnsi="Bosch Office Sans"/>
        <w:b/>
        <w:bCs/>
        <w:lang w:val="fr-FR"/>
      </w:rPr>
      <w:t xml:space="preserve">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640" w14:textId="77777777" w:rsidR="00514593" w:rsidRDefault="005145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FAE3" w14:textId="77777777" w:rsidR="003B7B1C" w:rsidRDefault="003B7B1C" w:rsidP="007B0472">
      <w:pPr>
        <w:spacing w:after="0" w:line="240" w:lineRule="auto"/>
      </w:pPr>
      <w:r>
        <w:separator/>
      </w:r>
    </w:p>
  </w:footnote>
  <w:footnote w:type="continuationSeparator" w:id="0">
    <w:p w14:paraId="4E0C17C5" w14:textId="77777777" w:rsidR="003B7B1C" w:rsidRDefault="003B7B1C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BA29" w14:textId="77777777" w:rsidR="00514593" w:rsidRDefault="005145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0280B6E2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proofErr w:type="spellEnd"/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8A2C6D">
      <w:rPr>
        <w:rFonts w:ascii="Bosch Office Sans" w:hAnsi="Bosch Office Sans"/>
        <w:b/>
        <w:bCs/>
        <w:sz w:val="36"/>
        <w:szCs w:val="36"/>
        <w:lang w:val="fr-FR"/>
      </w:rPr>
      <w:t>5</w:t>
    </w:r>
    <w:r w:rsidR="00514593">
      <w:rPr>
        <w:rFonts w:ascii="Bosch Office Sans" w:hAnsi="Bosch Office Sans"/>
        <w:b/>
        <w:bCs/>
        <w:sz w:val="36"/>
        <w:szCs w:val="36"/>
        <w:lang w:val="fr-FR"/>
      </w:rPr>
      <w:t>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droite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C92B" w14:textId="77777777" w:rsidR="00514593" w:rsidRDefault="005145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32546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068BE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05403"/>
    <w:rsid w:val="00514593"/>
    <w:rsid w:val="005210F1"/>
    <w:rsid w:val="00581598"/>
    <w:rsid w:val="005951FA"/>
    <w:rsid w:val="005B35C6"/>
    <w:rsid w:val="005D5A74"/>
    <w:rsid w:val="005D60CF"/>
    <w:rsid w:val="005D7BA1"/>
    <w:rsid w:val="00600BC0"/>
    <w:rsid w:val="00603449"/>
    <w:rsid w:val="00612EA9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A2C6D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04A6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EF571A"/>
    <w:rsid w:val="00F04DBD"/>
    <w:rsid w:val="00F42CED"/>
    <w:rsid w:val="00F5498C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P01S068244-785696466-2500</_dlc_DocId>
    <_dlc_DocIdUrl xmlns="de6c44b9-22b3-47a9-aa15-3252125a75f7">
      <Url>https://sites.inside-share4.bosch.com/sites/068244/_layouts/15/DocIdRedir.aspx?ID=P01S068244-785696466-2500</Url>
      <Description>P01S068244-785696466-2500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52DC1-EF54-48F4-B4E5-68150ADA7B79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1EFB59C1-7DFE-46A2-864D-FEDB2F5D6AB8}"/>
</file>

<file path=customXml/itemProps4.xml><?xml version="1.0" encoding="utf-8"?>
<ds:datastoreItem xmlns:ds="http://schemas.openxmlformats.org/officeDocument/2006/customXml" ds:itemID="{7AD43360-FB44-4407-86F9-68E2512A8E50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993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23</cp:revision>
  <dcterms:created xsi:type="dcterms:W3CDTF">2022-05-25T14:59:00Z</dcterms:created>
  <dcterms:modified xsi:type="dcterms:W3CDTF">2022-08-03T14:50:00Z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895e6cc3-5151-4d3e-8401-a312c3310d74</vt:lpwstr>
  </property>
  <property fmtid="{D5CDD505-2E9C-101B-9397-08002B2CF9AE}" pid="4" name="DMSKeywords">
    <vt:lpwstr/>
  </property>
</Properties>
</file>